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3D66" w:rsidRDefault="006C3D66">
      <w:r>
        <w:fldChar w:fldCharType="begin"/>
      </w:r>
      <w:r>
        <w:instrText xml:space="preserve"> HYPERLINK "</w:instrText>
      </w:r>
      <w:r w:rsidRPr="006C3D66">
        <w:instrText>https://openlibra.com/es/book/el-arte-de-ensenar-las-lenguas-extranjeras</w:instrText>
      </w:r>
      <w:r>
        <w:instrText xml:space="preserve">" </w:instrText>
      </w:r>
      <w:r>
        <w:fldChar w:fldCharType="separate"/>
      </w:r>
      <w:r w:rsidRPr="006102F1">
        <w:rPr>
          <w:rStyle w:val="Hipervnculo"/>
        </w:rPr>
        <w:t>https://openlibra.com/es/book/el-arte-de-ensenar-las-lenguas-extranjeras</w:t>
      </w:r>
      <w:r>
        <w:fldChar w:fldCharType="end"/>
      </w:r>
      <w:r>
        <w:t xml:space="preserve">  </w:t>
      </w:r>
    </w:p>
    <w:p w:rsidR="006C3D66" w:rsidRPr="006C3D66" w:rsidRDefault="006C3D66" w:rsidP="006C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6C3D6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Detalles del libro: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229"/>
      </w:tblGrid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Año: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2013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Editor: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Edulp</w:t>
            </w:r>
            <w:proofErr w:type="spellEnd"/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Páginas: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155 páginas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Idioma: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español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Desde: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08/04/2016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Tamaño: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5.28 MB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Licencia: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CC-BY-SA</w:t>
            </w:r>
          </w:p>
        </w:tc>
      </w:tr>
    </w:tbl>
    <w:p w:rsidR="006C3D66" w:rsidRPr="006C3D66" w:rsidRDefault="006C3D66" w:rsidP="006C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6C3D6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Contenido:</w:t>
      </w:r>
    </w:p>
    <w:p w:rsidR="006C3D66" w:rsidRP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Este libro es el resultado de las prácticas áulicas realizadas dentro del Departamento de Lenguas Extranjeras del Bachillerato de Bellas Artes, basada en una metodología unificada de enseñanza-aprendizaje de las Lenguas Extranjeras Inglés y </w:t>
      </w:r>
      <w:proofErr w:type="gram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Francés</w:t>
      </w:r>
      <w:proofErr w:type="gram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</w:p>
    <w:p w:rsidR="006C3D66" w:rsidRP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enfoque adoptado es el comunicativo y los ejes temáticos que lo sustentan son la música, el arte y la literatura complementados con temas de las Ciencias Sociales y adoptando como marco teórico los principios de AICLE: el aprendizaje basado en contenidos de materias curriculares; acentuando el trabajo sobre estrategias de aprendizaje e incorporando las nuevas tecnologías. </w:t>
      </w:r>
    </w:p>
    <w:p w:rsidR="006C3D66" w:rsidRP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Enseñar las Lenguas Extranjeras a través de contenidos curriculares tomados de otras asignaturas implica un cambio de paradigma en la metodología de trabajo y en la selección y elaboración de materiales.</w:t>
      </w:r>
    </w:p>
    <w:p w:rsidR="006C3D66" w:rsidRDefault="006C3D66">
      <w:hyperlink r:id="rId5" w:history="1">
        <w:r w:rsidRPr="006102F1">
          <w:rPr>
            <w:rStyle w:val="Hipervnculo"/>
          </w:rPr>
          <w:t>https://openlibra.com/es/book/the-talking-heads-experiment-origins-of-words-and-meanings</w:t>
        </w:r>
      </w:hyperlink>
      <w:r>
        <w:t xml:space="preserve"> </w:t>
      </w:r>
    </w:p>
    <w:p w:rsidR="006C3D66" w:rsidRPr="006C3D66" w:rsidRDefault="006C3D66" w:rsidP="006C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6C3D6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Detalles del libro:</w:t>
      </w:r>
    </w:p>
    <w:p w:rsidR="006C3D66" w:rsidRPr="006C3D66" w:rsidRDefault="006C3D66" w:rsidP="006C3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Global</w:t>
      </w:r>
    </w:p>
    <w:p w:rsidR="006C3D66" w:rsidRPr="006C3D66" w:rsidRDefault="006C3D66" w:rsidP="006C3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Categoría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2395"/>
      </w:tblGrid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Año: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2015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Editor: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Language</w:t>
            </w:r>
            <w:proofErr w:type="spellEnd"/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Science</w:t>
            </w:r>
            <w:proofErr w:type="spellEnd"/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Press</w:t>
            </w:r>
            <w:proofErr w:type="spellEnd"/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Páginas: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392 páginas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Idioma: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inglés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Desde: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01/02/2016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Tamaño: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55.67 MB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Licencia: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Pendiente de revisión</w:t>
            </w:r>
          </w:p>
        </w:tc>
      </w:tr>
    </w:tbl>
    <w:p w:rsidR="006C3D66" w:rsidRPr="006C3D66" w:rsidRDefault="006C3D66" w:rsidP="006C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6C3D6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Contenido:</w:t>
      </w:r>
    </w:p>
    <w:p w:rsidR="006C3D66" w:rsidRP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I set up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Talking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Heads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with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group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brilliant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students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collaborators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at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end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nineteen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nineties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was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intended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be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first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large-scale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, open-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ended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emergence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shared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set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grounded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concepts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vocabulary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for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expressing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these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concepts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population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autonomous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agents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Inspired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Ludwig Wittgenstein,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took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form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a series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language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games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more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concretely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games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reference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about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“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world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”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made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up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geometric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figures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pasted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white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board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observable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agents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through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pan-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tilt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cameras. I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wanted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demonstrate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with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this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earlier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breakthroughs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study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language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origins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test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whether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would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hold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for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large-scale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populations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open-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ended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environments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6C3D66" w:rsidRP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also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wanted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find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out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how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humans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would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interact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with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these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agents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So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made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such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that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human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users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after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logging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through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Internet,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could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new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words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agents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use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words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learned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from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agents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play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their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own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language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games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</w:p>
    <w:p w:rsidR="006C3D66" w:rsidRP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In 1999,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live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context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exhibition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called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Laboratorium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organised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Antwerp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Belgium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)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Hans-Ulrich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Obrist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Barbara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Vanderlinden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After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first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experimental run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from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27 June 1999 to 3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October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1999,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was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repeated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as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part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a new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exhibition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called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N01SE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organised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Cambridge and London (UK)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Adam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Lowe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Simon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Schaffer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from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22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January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26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March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2000,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with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additional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installations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at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Palais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la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Découverte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Paris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several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other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places.</w:t>
      </w:r>
    </w:p>
    <w:p w:rsid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At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occasion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1999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Laboratorium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exhibition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draft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book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was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published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that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described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underlying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theoretical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assumptions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considerable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detail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For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many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reasons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not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at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least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that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work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continued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at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great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speed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other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exciting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original “pre-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edition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”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book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never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made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fully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finished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officially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published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work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circulated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only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as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“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underground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”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edition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This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was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disappointing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because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Talking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Heads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was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important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breakthrough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Moreover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contained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first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inklings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mechanisms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that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since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have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been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worked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out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enhanced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tested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many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experiments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which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replicated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original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results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further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enhanced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present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volume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intended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fill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this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gap.</w:t>
      </w:r>
    </w:p>
    <w:p w:rsid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C3D66" w:rsidRP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hyperlink r:id="rId6" w:history="1">
        <w:r w:rsidRPr="006102F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CO"/>
          </w:rPr>
          <w:t>https://openlibra.com/es/book/the-glyfada-method-a-writing-process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6C3D66" w:rsidRPr="006C3D66" w:rsidRDefault="006C3D66" w:rsidP="006C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6C3D6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Detalles del libro:</w:t>
      </w:r>
    </w:p>
    <w:p w:rsidR="006C3D66" w:rsidRPr="006C3D66" w:rsidRDefault="006C3D66" w:rsidP="006C3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Global</w:t>
      </w:r>
    </w:p>
    <w:p w:rsidR="006C3D66" w:rsidRPr="006C3D66" w:rsidRDefault="006C3D66" w:rsidP="006C3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Categoría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222"/>
      </w:tblGrid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Año: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2014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Editor: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CK-12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Páginas: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40 páginas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Idioma: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inglés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Desde: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21/11/2014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Tamaño: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2.66 MB</w:t>
            </w:r>
          </w:p>
        </w:tc>
      </w:tr>
      <w:tr w:rsidR="006C3D66" w:rsidRPr="006C3D66" w:rsidTr="006C3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Licencia:</w:t>
            </w:r>
          </w:p>
        </w:tc>
        <w:tc>
          <w:tcPr>
            <w:tcW w:w="0" w:type="auto"/>
            <w:vAlign w:val="center"/>
            <w:hideMark/>
          </w:tcPr>
          <w:p w:rsidR="006C3D66" w:rsidRPr="006C3D66" w:rsidRDefault="006C3D66" w:rsidP="006C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C3D6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CC-BY-NC</w:t>
            </w:r>
          </w:p>
        </w:tc>
      </w:tr>
    </w:tbl>
    <w:p w:rsidR="006C3D66" w:rsidRPr="006C3D66" w:rsidRDefault="006C3D66" w:rsidP="006C3D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6C3D6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Contenido:</w:t>
      </w:r>
    </w:p>
    <w:p w:rsidR="006C3D66" w:rsidRP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For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many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decades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students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were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expected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make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outline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with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introduction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body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conclusion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Although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were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not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sure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what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wanted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say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made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outline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wrote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essay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fit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Sometimes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reversing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process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wrote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paper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made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outline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from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finished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product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After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marking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essays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for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correctness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spelling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mechanics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grammar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thesis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development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organization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teachers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returned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papers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students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who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in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turn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stuffed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 notebooks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book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bags.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However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during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last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twenty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years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writing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instructors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have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updated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their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pedagogy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focusing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less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composed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product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more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composing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process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6C3D66" w:rsidRPr="006C3D66" w:rsidRDefault="006C3D66" w:rsidP="006C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In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on-going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writing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some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English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teachers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work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from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whole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part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start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with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whole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paper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outlining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organization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thesis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purpose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introduction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body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conclusion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as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semester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goes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move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into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smaller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parts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such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as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sentence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structure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diction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grammar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James L.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Kinneavy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found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“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much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evidence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that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beginning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with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whole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moving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only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incidentally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parts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mechanical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skills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punctuation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spelling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sentence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skills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paragraph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skills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)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does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not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seem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be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entirely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successful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”.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Other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teachers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prefer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work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from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part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whole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starting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with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perhaps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grammar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unit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before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whole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paper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even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though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seventy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years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research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“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demonstrate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overwhelmingly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that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isolated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grammatical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skills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has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little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no transfer to use in actual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composition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”.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Essays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are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assigned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graded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while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focuses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general rules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either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starting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with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whole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moving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to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parts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or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vice versa.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connection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between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teaching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writing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is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not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emphasized</w:t>
      </w:r>
      <w:proofErr w:type="spellEnd"/>
      <w:r w:rsidRPr="006C3D6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6C3D66" w:rsidRDefault="006C3D66"/>
    <w:p w:rsidR="005942B6" w:rsidRDefault="005942B6">
      <w:hyperlink r:id="rId7" w:history="1">
        <w:r w:rsidRPr="006102F1">
          <w:rPr>
            <w:rStyle w:val="Hipervnculo"/>
          </w:rPr>
          <w:t>https://openlibra.com/es/book/commonsense-composition</w:t>
        </w:r>
      </w:hyperlink>
      <w:r>
        <w:t xml:space="preserve"> </w:t>
      </w:r>
    </w:p>
    <w:p w:rsidR="005942B6" w:rsidRDefault="005942B6" w:rsidP="005942B6">
      <w:pPr>
        <w:pStyle w:val="Ttulo3"/>
      </w:pPr>
      <w:r>
        <w:t>Detalles del libro:</w:t>
      </w:r>
    </w:p>
    <w:p w:rsidR="005942B6" w:rsidRDefault="005942B6" w:rsidP="005942B6">
      <w:r>
        <w:t>Global</w:t>
      </w:r>
    </w:p>
    <w:p w:rsidR="005942B6" w:rsidRDefault="005942B6" w:rsidP="005942B6">
      <w:r>
        <w:t>Categoría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1142"/>
      </w:tblGrid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Año: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2014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lastRenderedPageBreak/>
              <w:t>Editor: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CK-12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Páginas: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126 páginas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Idioma: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inglés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Desde: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30/10/2014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Tamaño: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7.63 MB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Licencia: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CC-BY-NC</w:t>
            </w:r>
          </w:p>
        </w:tc>
      </w:tr>
    </w:tbl>
    <w:p w:rsidR="005942B6" w:rsidRDefault="005942B6" w:rsidP="005942B6">
      <w:pPr>
        <w:pStyle w:val="Ttulo3"/>
      </w:pPr>
      <w:r>
        <w:t>Contenido:</w:t>
      </w:r>
    </w:p>
    <w:p w:rsidR="005942B6" w:rsidRDefault="005942B6" w:rsidP="005942B6">
      <w:pPr>
        <w:pStyle w:val="NormalWeb"/>
      </w:pPr>
      <w:proofErr w:type="spellStart"/>
      <w:r>
        <w:t>This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California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grades 9-12 to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generalized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composition</w:t>
      </w:r>
      <w:proofErr w:type="spellEnd"/>
      <w:r>
        <w:t xml:space="preserve"> and to </w:t>
      </w:r>
      <w:proofErr w:type="spellStart"/>
      <w:r>
        <w:t>serve</w:t>
      </w:r>
      <w:proofErr w:type="spellEnd"/>
      <w:r>
        <w:t xml:space="preserve"> as a </w:t>
      </w:r>
      <w:proofErr w:type="spellStart"/>
      <w:r>
        <w:t>supplementary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to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English </w:t>
      </w:r>
      <w:proofErr w:type="spellStart"/>
      <w:r>
        <w:t>teachers</w:t>
      </w:r>
      <w:proofErr w:type="spellEnd"/>
      <w:r>
        <w:t>.</w:t>
      </w:r>
    </w:p>
    <w:p w:rsidR="005942B6" w:rsidRDefault="005942B6" w:rsidP="005942B6">
      <w:pPr>
        <w:pStyle w:val="NormalWeb"/>
      </w:pPr>
      <w:proofErr w:type="spellStart"/>
      <w:r>
        <w:t>Table</w:t>
      </w:r>
      <w:proofErr w:type="spellEnd"/>
      <w:r>
        <w:t xml:space="preserve"> of </w:t>
      </w:r>
      <w:proofErr w:type="spellStart"/>
      <w:r>
        <w:t>Contents</w:t>
      </w:r>
      <w:proofErr w:type="spellEnd"/>
      <w:r>
        <w:t>:</w:t>
      </w:r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Descriptive</w:t>
      </w:r>
      <w:proofErr w:type="spellEnd"/>
      <w:r>
        <w:t xml:space="preserve"> </w:t>
      </w:r>
      <w:proofErr w:type="spellStart"/>
      <w:r>
        <w:t>Essays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Narrative</w:t>
      </w:r>
      <w:proofErr w:type="spellEnd"/>
      <w:r>
        <w:t xml:space="preserve"> </w:t>
      </w:r>
      <w:proofErr w:type="spellStart"/>
      <w:r>
        <w:t>Essay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Expository</w:t>
      </w:r>
      <w:proofErr w:type="spellEnd"/>
      <w:r>
        <w:t xml:space="preserve"> </w:t>
      </w:r>
      <w:proofErr w:type="spellStart"/>
      <w:r>
        <w:t>Essay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Persuasive</w:t>
      </w:r>
      <w:proofErr w:type="spellEnd"/>
      <w:r>
        <w:t xml:space="preserve"> </w:t>
      </w:r>
      <w:proofErr w:type="spellStart"/>
      <w:r>
        <w:t>Essay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Writing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Basics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Writing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: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Prose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Tone</w:t>
      </w:r>
      <w:proofErr w:type="spellEnd"/>
      <w:r>
        <w:t xml:space="preserve"> and Style</w:t>
      </w:r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Business </w:t>
      </w:r>
      <w:proofErr w:type="spellStart"/>
      <w:r>
        <w:t>Documents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Parts</w:t>
      </w:r>
      <w:proofErr w:type="spellEnd"/>
      <w:r>
        <w:t xml:space="preserve"> of </w:t>
      </w:r>
      <w:proofErr w:type="spellStart"/>
      <w:r>
        <w:t>Speech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Parts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Punctuation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Verbs</w:t>
      </w:r>
      <w:proofErr w:type="spellEnd"/>
      <w:r>
        <w:t xml:space="preserve"> and </w:t>
      </w:r>
      <w:proofErr w:type="spellStart"/>
      <w:r>
        <w:t>Sentence</w:t>
      </w:r>
      <w:proofErr w:type="spellEnd"/>
      <w:r>
        <w:t xml:space="preserve"> </w:t>
      </w:r>
      <w:proofErr w:type="spellStart"/>
      <w:r>
        <w:t>Types</w:t>
      </w:r>
      <w:proofErr w:type="spellEnd"/>
    </w:p>
    <w:p w:rsidR="005942B6" w:rsidRDefault="005942B6" w:rsidP="005942B6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Common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in </w:t>
      </w:r>
      <w:proofErr w:type="spellStart"/>
      <w:r>
        <w:t>Grammar</w:t>
      </w:r>
      <w:proofErr w:type="spellEnd"/>
      <w:r>
        <w:t xml:space="preserve"> and </w:t>
      </w:r>
      <w:proofErr w:type="spellStart"/>
      <w:r>
        <w:t>Punctuation</w:t>
      </w:r>
      <w:proofErr w:type="spellEnd"/>
    </w:p>
    <w:p w:rsidR="005942B6" w:rsidRDefault="005942B6">
      <w:hyperlink r:id="rId8" w:history="1">
        <w:r w:rsidRPr="006102F1">
          <w:rPr>
            <w:rStyle w:val="Hipervnculo"/>
          </w:rPr>
          <w:t>https://openlibra.com/es/book/basic-speller-student-materials</w:t>
        </w:r>
      </w:hyperlink>
      <w:r>
        <w:t xml:space="preserve"> </w:t>
      </w:r>
    </w:p>
    <w:p w:rsidR="005942B6" w:rsidRPr="005942B6" w:rsidRDefault="005942B6" w:rsidP="0059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5942B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Detalles del libro:</w:t>
      </w:r>
    </w:p>
    <w:p w:rsidR="005942B6" w:rsidRPr="005942B6" w:rsidRDefault="005942B6" w:rsidP="0059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Global</w:t>
      </w:r>
    </w:p>
    <w:p w:rsidR="005942B6" w:rsidRPr="005942B6" w:rsidRDefault="005942B6" w:rsidP="0059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Categoría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1229"/>
      </w:tblGrid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Año: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2014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Editor: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CK-12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Páginas: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779 páginas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Idioma: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inglés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Desde: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28/10/2014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Tamaño: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16.16 MB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Licencia: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CC-BY-NC</w:t>
            </w:r>
          </w:p>
        </w:tc>
      </w:tr>
    </w:tbl>
    <w:p w:rsidR="005942B6" w:rsidRPr="005942B6" w:rsidRDefault="005942B6" w:rsidP="0059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5942B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Contenido:</w:t>
      </w:r>
    </w:p>
    <w:p w:rsidR="005942B6" w:rsidRPr="005942B6" w:rsidRDefault="005942B6" w:rsidP="0059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Table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Contents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:</w:t>
      </w:r>
    </w:p>
    <w:p w:rsidR="005942B6" w:rsidRPr="005942B6" w:rsidRDefault="005942B6" w:rsidP="00594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Student</w:t>
      </w:r>
      <w:proofErr w:type="spellEnd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01-Lesson 1-24</w:t>
      </w: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Learn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practice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vowel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consonant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letters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sounds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Learn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use,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practice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matrices. Long and short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vowel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sounds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are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covered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5942B6" w:rsidRPr="005942B6" w:rsidRDefault="005942B6" w:rsidP="00594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Student</w:t>
      </w:r>
      <w:proofErr w:type="spellEnd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01-Lesson 25-48</w:t>
      </w: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This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chapter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discusses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matrix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patterns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VCV, VCC, CVC;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suffixes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;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compound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words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;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twinning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Consonants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their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sounds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are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also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reviewed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5942B6" w:rsidRPr="005942B6" w:rsidRDefault="005942B6" w:rsidP="00594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Student</w:t>
      </w:r>
      <w:proofErr w:type="spellEnd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02-Lesson 1-24</w:t>
      </w: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This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chapter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covers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consonant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sounds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suffixes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-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ed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, -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ing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s,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pronunciations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suffix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-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ed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compound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words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review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long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short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vowel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patterns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silent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e.</w:t>
      </w:r>
    </w:p>
    <w:p w:rsidR="005942B6" w:rsidRPr="005942B6" w:rsidRDefault="005942B6" w:rsidP="00594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Student</w:t>
      </w:r>
      <w:proofErr w:type="spellEnd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02-Lesson 25-48</w:t>
      </w: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This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chapter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covers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using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-s versus -es,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practicing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plural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suffixes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consonant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sounds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compounds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prefix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Re-.</w:t>
      </w:r>
    </w:p>
    <w:p w:rsidR="005942B6" w:rsidRPr="005942B6" w:rsidRDefault="005942B6" w:rsidP="00594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Student</w:t>
      </w:r>
      <w:proofErr w:type="spellEnd"/>
      <w:r w:rsidRPr="005942B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03-Lesson 1-24</w:t>
      </w: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Review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of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letters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vowel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sounds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patterns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elements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simple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addition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compound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words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twinning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final e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deletion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New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topics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such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as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the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word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stem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vowel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sound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schwa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strong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weak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vowel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sounds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combinations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ks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kw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are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introduced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5942B6" w:rsidRPr="005942B6" w:rsidRDefault="005942B6" w:rsidP="0059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And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may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more...</w:t>
      </w:r>
    </w:p>
    <w:p w:rsidR="005942B6" w:rsidRDefault="005942B6">
      <w:hyperlink r:id="rId9" w:history="1">
        <w:r w:rsidRPr="006102F1">
          <w:rPr>
            <w:rStyle w:val="Hipervnculo"/>
          </w:rPr>
          <w:t>https://openlibra.com/es/book/ingles-2-serie-para-la-ensenanza-en-el-modelo-1-a-1</w:t>
        </w:r>
      </w:hyperlink>
      <w:r>
        <w:t xml:space="preserve"> </w:t>
      </w:r>
    </w:p>
    <w:p w:rsidR="005942B6" w:rsidRDefault="005942B6" w:rsidP="005942B6">
      <w:pPr>
        <w:pStyle w:val="Ttulo3"/>
      </w:pPr>
      <w:r>
        <w:t>Detalles del libro:</w:t>
      </w:r>
    </w:p>
    <w:p w:rsidR="005942B6" w:rsidRDefault="005942B6" w:rsidP="005942B6">
      <w:r>
        <w:t>Global</w:t>
      </w:r>
    </w:p>
    <w:p w:rsidR="005942B6" w:rsidRDefault="005942B6" w:rsidP="005942B6">
      <w:r>
        <w:t>Categoría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3382"/>
      </w:tblGrid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Año: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2013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Editor: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Ministerio de Educación de la Nación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Páginas: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44 páginas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Idioma: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español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Desde: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23/05/2014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Tamaño: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1.48 MB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Licencia: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CC-BY</w:t>
            </w:r>
          </w:p>
        </w:tc>
      </w:tr>
    </w:tbl>
    <w:p w:rsidR="005942B6" w:rsidRDefault="005942B6" w:rsidP="005942B6">
      <w:pPr>
        <w:pStyle w:val="Ttulo3"/>
      </w:pPr>
      <w:r>
        <w:lastRenderedPageBreak/>
        <w:t>Contenido:</w:t>
      </w:r>
    </w:p>
    <w:p w:rsidR="005942B6" w:rsidRDefault="005942B6" w:rsidP="005942B6">
      <w:pPr>
        <w:pStyle w:val="NormalWeb"/>
      </w:pPr>
      <w:r>
        <w:t xml:space="preserve">El presente material ha sido diseñado con el objetivo de acompañar a los docentes de </w:t>
      </w:r>
      <w:proofErr w:type="gramStart"/>
      <w:r>
        <w:t>Inglés</w:t>
      </w:r>
      <w:proofErr w:type="gramEnd"/>
      <w:r>
        <w:t xml:space="preserve"> del nivel secundario en el tratamiento de los contenidos de aprendizaje de la materia en los diseños curriculares correspondientes, especialmente en el marco del programa Conectar Igualdad.</w:t>
      </w:r>
    </w:p>
    <w:p w:rsidR="005942B6" w:rsidRDefault="005942B6" w:rsidP="005942B6">
      <w:pPr>
        <w:pStyle w:val="NormalWeb"/>
      </w:pPr>
      <w:r>
        <w:t>Para fomentar la integración y articulación con las demás áreas curriculares, este manual para docentes de inglés se ha escrito en español. Solamente el texto de la secuencia didáctica modélica y las decisiones didáctico-pedagógicas están expresadas en inglés, por ser lo específico del propósito de este manual. Sin embargo, también se adjunta una descripción en español, para facilitar el acceso a los docentes de otras disciplinas.</w:t>
      </w:r>
    </w:p>
    <w:p w:rsidR="005942B6" w:rsidRDefault="005942B6" w:rsidP="005942B6">
      <w:pPr>
        <w:pStyle w:val="NormalWeb"/>
      </w:pPr>
      <w:r>
        <w:t xml:space="preserve">El uso de la lengua de escolarización puede facilitarles a los docentes de otras lenguas extranjeras acceder a la información aquí contenida y establecer conexiones con las problemáticas propias del idioma que enseñan, ya que se comparte un mismo contexto </w:t>
      </w:r>
      <w:proofErr w:type="spellStart"/>
      <w:r>
        <w:t>exolingüe</w:t>
      </w:r>
      <w:proofErr w:type="spellEnd"/>
      <w:r>
        <w:t>.</w:t>
      </w:r>
    </w:p>
    <w:p w:rsidR="005942B6" w:rsidRDefault="005942B6">
      <w:hyperlink r:id="rId10" w:history="1">
        <w:r w:rsidRPr="006102F1">
          <w:rPr>
            <w:rStyle w:val="Hipervnculo"/>
          </w:rPr>
          <w:t>https://openlibra.com/es/book/ingles-1-serie-para-la-ensenanza-en-el-modelo-1-a-1</w:t>
        </w:r>
      </w:hyperlink>
      <w:r>
        <w:t xml:space="preserve"> </w:t>
      </w:r>
    </w:p>
    <w:p w:rsidR="005942B6" w:rsidRPr="005942B6" w:rsidRDefault="005942B6" w:rsidP="0059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5942B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Detalles del libro:</w:t>
      </w:r>
    </w:p>
    <w:p w:rsidR="005942B6" w:rsidRPr="005942B6" w:rsidRDefault="005942B6" w:rsidP="0059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Global</w:t>
      </w:r>
    </w:p>
    <w:p w:rsidR="005942B6" w:rsidRPr="005942B6" w:rsidRDefault="005942B6" w:rsidP="0059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Categoría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3708"/>
      </w:tblGrid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Año: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2011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Editor: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Ministerio de Educación de la Nación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Páginas: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51 páginas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Idioma: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español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Desde: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22/05/2014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Tamaño: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1.83 MB</w:t>
            </w:r>
          </w:p>
        </w:tc>
      </w:tr>
      <w:tr w:rsidR="005942B6" w:rsidRP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Licencia:</w:t>
            </w:r>
          </w:p>
        </w:tc>
        <w:tc>
          <w:tcPr>
            <w:tcW w:w="0" w:type="auto"/>
            <w:vAlign w:val="center"/>
            <w:hideMark/>
          </w:tcPr>
          <w:p w:rsidR="005942B6" w:rsidRPr="005942B6" w:rsidRDefault="005942B6" w:rsidP="0059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942B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CC-BY</w:t>
            </w:r>
          </w:p>
        </w:tc>
      </w:tr>
    </w:tbl>
    <w:p w:rsidR="005942B6" w:rsidRPr="005942B6" w:rsidRDefault="005942B6" w:rsidP="0059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5942B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Contenido:</w:t>
      </w:r>
    </w:p>
    <w:p w:rsidR="005942B6" w:rsidRPr="005942B6" w:rsidRDefault="005942B6" w:rsidP="0059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presente material ha sido diseñado con el objetivo de acompañar a los docentes de </w:t>
      </w:r>
      <w:proofErr w:type="gram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Inglés</w:t>
      </w:r>
      <w:proofErr w:type="gram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del nivel secundario en el tratamiento de los contenidos de aprendizaje de la materia en los diseños curriculares correspondientes, especialmente en el marco del programa Conectar Igualdad.</w:t>
      </w:r>
    </w:p>
    <w:p w:rsidR="005942B6" w:rsidRPr="005942B6" w:rsidRDefault="005942B6" w:rsidP="0059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Esta propuesta pedagógica incluye un eje programático: incorporar en forma cotidiana el uso de las </w:t>
      </w:r>
      <w:proofErr w:type="spellStart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netbooks</w:t>
      </w:r>
      <w:proofErr w:type="spellEnd"/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los estudiantes y del docente, del servidor de la escuela y de la conexión a Internet. La introducción del modelo 1:1 consiste en la distribución de equipos portátiles a estudiantes y a docentes en forma individual, de modo que cada uno adquiere un acceso personalizado, directo, ilimitado y ubicuo a la tecnología de la información, de </w:t>
      </w: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manera simultánea, dando lugar a una vinculación entre sí y con otras redes en un tiempo que excede el de la concurrencia escolar. </w:t>
      </w:r>
    </w:p>
    <w:p w:rsidR="005942B6" w:rsidRPr="005942B6" w:rsidRDefault="005942B6" w:rsidP="0059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En las clases de Lenguas Extranjeras, son especialmente relevantes:</w:t>
      </w:r>
    </w:p>
    <w:p w:rsidR="005942B6" w:rsidRPr="005942B6" w:rsidRDefault="005942B6" w:rsidP="00594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La colaboración en la construcción del conocimiento.</w:t>
      </w:r>
    </w:p>
    <w:p w:rsidR="005942B6" w:rsidRPr="005942B6" w:rsidRDefault="005942B6" w:rsidP="00594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La interacción con textos.</w:t>
      </w:r>
    </w:p>
    <w:p w:rsidR="005942B6" w:rsidRPr="005942B6" w:rsidRDefault="005942B6" w:rsidP="00594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>El manejo de entornos comunicativos.</w:t>
      </w:r>
    </w:p>
    <w:p w:rsidR="005942B6" w:rsidRPr="005942B6" w:rsidRDefault="005942B6" w:rsidP="0059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942B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Estos lineamientos son el marco general de los contenidos del programa en los cuales se incluyen los del presente material. </w:t>
      </w:r>
    </w:p>
    <w:p w:rsidR="005942B6" w:rsidRDefault="005942B6">
      <w:hyperlink r:id="rId11" w:history="1">
        <w:r w:rsidRPr="006102F1">
          <w:rPr>
            <w:rStyle w:val="Hipervnculo"/>
          </w:rPr>
          <w:t>https://openlibra.com/es/book/business-english-for-success</w:t>
        </w:r>
      </w:hyperlink>
      <w:r>
        <w:t xml:space="preserve"> </w:t>
      </w:r>
    </w:p>
    <w:p w:rsidR="005942B6" w:rsidRDefault="005942B6" w:rsidP="005942B6">
      <w:pPr>
        <w:pStyle w:val="Ttulo3"/>
      </w:pPr>
      <w:r>
        <w:t>Detalles del libro:</w:t>
      </w:r>
    </w:p>
    <w:p w:rsidR="005942B6" w:rsidRDefault="005942B6" w:rsidP="005942B6">
      <w:r>
        <w:t>Global</w:t>
      </w:r>
    </w:p>
    <w:p w:rsidR="005942B6" w:rsidRDefault="005942B6" w:rsidP="005942B6">
      <w:r>
        <w:t>Categoría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2081"/>
      </w:tblGrid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Año: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2014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Editor: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Saylor</w:t>
            </w:r>
            <w:proofErr w:type="spellEnd"/>
            <w:r>
              <w:t xml:space="preserve"> </w:t>
            </w:r>
            <w:proofErr w:type="spellStart"/>
            <w:r>
              <w:t>Foundation</w:t>
            </w:r>
            <w:proofErr w:type="spellEnd"/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Páginas: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602 páginas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Idioma: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inglés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Desde: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30/04/2014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Tamaño: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16.42 MB</w:t>
            </w:r>
          </w:p>
        </w:tc>
      </w:tr>
      <w:tr w:rsidR="005942B6" w:rsidTr="00594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2B6" w:rsidRDefault="005942B6">
            <w:r>
              <w:t>Licencia:</w:t>
            </w:r>
          </w:p>
        </w:tc>
        <w:tc>
          <w:tcPr>
            <w:tcW w:w="0" w:type="auto"/>
            <w:vAlign w:val="center"/>
            <w:hideMark/>
          </w:tcPr>
          <w:p w:rsidR="005942B6" w:rsidRDefault="005942B6">
            <w:r>
              <w:t>Pendiente de revisión</w:t>
            </w:r>
          </w:p>
        </w:tc>
      </w:tr>
    </w:tbl>
    <w:p w:rsidR="005942B6" w:rsidRDefault="005942B6" w:rsidP="005942B6">
      <w:pPr>
        <w:pStyle w:val="Ttulo3"/>
      </w:pPr>
      <w:r>
        <w:t>Contenido:</w:t>
      </w:r>
    </w:p>
    <w:p w:rsidR="005942B6" w:rsidRDefault="005942B6" w:rsidP="005942B6">
      <w:pPr>
        <w:pStyle w:val="NormalWeb"/>
      </w:pPr>
      <w:r>
        <w:t xml:space="preserve">Business English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to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Business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: </w:t>
      </w:r>
      <w:proofErr w:type="gramStart"/>
      <w:r>
        <w:t xml:space="preserve">Business English </w:t>
      </w:r>
      <w:proofErr w:type="spellStart"/>
      <w:r>
        <w:t>or</w:t>
      </w:r>
      <w:proofErr w:type="spellEnd"/>
      <w:r>
        <w:t xml:space="preserve"> Business </w:t>
      </w:r>
      <w:proofErr w:type="spellStart"/>
      <w:r>
        <w:t>Presentations</w:t>
      </w:r>
      <w:proofErr w:type="spellEnd"/>
      <w:r>
        <w:t>?</w:t>
      </w:r>
      <w:proofErr w:type="gram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place </w:t>
      </w:r>
      <w:proofErr w:type="spellStart"/>
      <w:r>
        <w:t>an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oral and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free online </w:t>
      </w:r>
      <w:proofErr w:type="spellStart"/>
      <w:r>
        <w:t>text</w:t>
      </w:r>
      <w:proofErr w:type="spellEnd"/>
      <w:r>
        <w:t xml:space="preserve"> Business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places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</w:t>
      </w:r>
      <w:proofErr w:type="spellStart"/>
      <w:r>
        <w:t>squarely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and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5942B6" w:rsidRDefault="005942B6" w:rsidP="005942B6">
      <w:pPr>
        <w:pStyle w:val="NormalWeb"/>
      </w:pPr>
      <w:proofErr w:type="spellStart"/>
      <w:r>
        <w:t>The</w:t>
      </w:r>
      <w:proofErr w:type="spellEnd"/>
      <w:r>
        <w:t xml:space="preserve"> Business English </w:t>
      </w:r>
      <w:proofErr w:type="spellStart"/>
      <w:r>
        <w:t>course</w:t>
      </w:r>
      <w:proofErr w:type="spellEnd"/>
      <w:r>
        <w:t xml:space="preserve"> and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in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to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fundamentals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to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mastery</w:t>
      </w:r>
      <w:proofErr w:type="spellEnd"/>
      <w:r>
        <w:t xml:space="preserve"> and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to more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are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English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a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and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r>
        <w:lastRenderedPageBreak/>
        <w:t xml:space="preserve">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basics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articulates</w:t>
      </w:r>
      <w:proofErr w:type="spellEnd"/>
      <w:r>
        <w:t xml:space="preserve"> as a </w:t>
      </w:r>
      <w:proofErr w:type="spellStart"/>
      <w:r>
        <w:t>course-equivalent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English </w:t>
      </w:r>
      <w:proofErr w:type="spellStart"/>
      <w:r>
        <w:t>or</w:t>
      </w:r>
      <w:proofErr w:type="spellEnd"/>
      <w:r>
        <w:t xml:space="preserve"> </w:t>
      </w:r>
      <w:proofErr w:type="spellStart"/>
      <w:r>
        <w:t>fulfills</w:t>
      </w:r>
      <w:proofErr w:type="spellEnd"/>
      <w:r>
        <w:t xml:space="preserve"> a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instructor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and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Business English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can </w:t>
      </w:r>
      <w:proofErr w:type="spellStart"/>
      <w:r>
        <w:t>address</w:t>
      </w:r>
      <w:proofErr w:type="spellEnd"/>
      <w:r>
        <w:t>.</w:t>
      </w:r>
    </w:p>
    <w:p w:rsidR="005942B6" w:rsidRDefault="005942B6" w:rsidP="005942B6">
      <w:pPr>
        <w:pStyle w:val="NormalWeb"/>
      </w:pPr>
      <w:proofErr w:type="spellStart"/>
      <w:r>
        <w:t>We</w:t>
      </w:r>
      <w:proofErr w:type="spellEnd"/>
      <w:r>
        <w:t xml:space="preserve"> open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break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elemental </w:t>
      </w:r>
      <w:proofErr w:type="spellStart"/>
      <w:r>
        <w:t>components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reconstructing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paragraphs</w:t>
      </w:r>
      <w:proofErr w:type="spellEnd"/>
      <w:r>
        <w:t xml:space="preserve"> and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step-by-step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and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reinforcement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to </w:t>
      </w:r>
      <w:proofErr w:type="spellStart"/>
      <w:r>
        <w:t>studentcentered</w:t>
      </w:r>
      <w:proofErr w:type="spellEnd"/>
      <w:r>
        <w:t xml:space="preserve"> </w:t>
      </w:r>
      <w:proofErr w:type="spellStart"/>
      <w:r>
        <w:t>learning</w:t>
      </w:r>
      <w:proofErr w:type="spellEnd"/>
    </w:p>
    <w:p w:rsidR="005942B6" w:rsidRDefault="005942B6"/>
    <w:sectPr w:rsidR="005942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6922"/>
    <w:multiLevelType w:val="multilevel"/>
    <w:tmpl w:val="1280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C2720"/>
    <w:multiLevelType w:val="multilevel"/>
    <w:tmpl w:val="3DF6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51F38"/>
    <w:multiLevelType w:val="multilevel"/>
    <w:tmpl w:val="DF26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66"/>
    <w:rsid w:val="005942B6"/>
    <w:rsid w:val="006C3D66"/>
    <w:rsid w:val="00763CF5"/>
    <w:rsid w:val="007C7CF3"/>
    <w:rsid w:val="00C70566"/>
    <w:rsid w:val="00FA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1DC02B"/>
  <w15:chartTrackingRefBased/>
  <w15:docId w15:val="{2984AA24-20AA-4A50-B4A0-8BA93FCB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C3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3D66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C3D6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6C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94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5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2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5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2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libra.com/es/book/basic-speller-student-materi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libra.com/es/book/commonsense-composi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libra.com/es/book/the-glyfada-method-a-writing-process" TargetMode="External"/><Relationship Id="rId11" Type="http://schemas.openxmlformats.org/officeDocument/2006/relationships/hyperlink" Target="https://openlibra.com/es/book/business-english-for-success" TargetMode="External"/><Relationship Id="rId5" Type="http://schemas.openxmlformats.org/officeDocument/2006/relationships/hyperlink" Target="https://openlibra.com/es/book/the-talking-heads-experiment-origins-of-words-and-meanings" TargetMode="External"/><Relationship Id="rId10" Type="http://schemas.openxmlformats.org/officeDocument/2006/relationships/hyperlink" Target="https://openlibra.com/es/book/ingles-1-serie-para-la-ensenanza-en-el-modelo-1-a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libra.com/es/book/ingles-2-serie-para-la-ensenanza-en-el-modelo-1-a-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1957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3</cp:revision>
  <dcterms:created xsi:type="dcterms:W3CDTF">2019-07-22T15:52:00Z</dcterms:created>
  <dcterms:modified xsi:type="dcterms:W3CDTF">2019-07-22T18:25:00Z</dcterms:modified>
</cp:coreProperties>
</file>